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2D" w:rsidRDefault="00F67ECA" w:rsidP="005C212D">
      <w:pPr>
        <w:rPr>
          <w:b/>
        </w:rPr>
      </w:pPr>
      <w:r w:rsidRPr="00F67E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.9pt;margin-top:30.9pt;width:402.65pt;height:104.4pt;z-index:251661312">
            <v:imagedata r:id="rId6" o:title=""/>
          </v:shape>
          <o:OLEObject Type="Embed" ProgID="ChemDraw.Document.6.0" ShapeID="_x0000_s1027" DrawAspect="Content" ObjectID="_1554101434" r:id="rId7"/>
        </w:pict>
      </w:r>
      <w:r w:rsidR="005C212D" w:rsidRPr="00345E9A">
        <w:rPr>
          <w:rFonts w:ascii="Adobe 黑体 Std R" w:eastAsia="Adobe 黑体 Std R" w:hAnsi="Adobe 黑体 Std R"/>
          <w:b/>
        </w:rPr>
        <w:t>Answer</w:t>
      </w:r>
      <w:r w:rsidR="005C212D" w:rsidRPr="00345E9A">
        <w:rPr>
          <w:rFonts w:ascii="Adobe 黑体 Std R" w:eastAsia="Adobe 黑体 Std R" w:hAnsi="Adobe 黑体 Std R" w:hint="eastAsia"/>
          <w:b/>
        </w:rPr>
        <w:t xml:space="preserve"> -001</w:t>
      </w:r>
    </w:p>
    <w:p w:rsidR="005C212D" w:rsidRPr="00755994" w:rsidRDefault="005C212D" w:rsidP="005C212D">
      <w:pPr>
        <w:rPr>
          <w:b/>
        </w:rPr>
      </w:pPr>
    </w:p>
    <w:p w:rsidR="005C212D" w:rsidRDefault="005C212D" w:rsidP="005C212D">
      <w:pPr>
        <w:jc w:val="left"/>
      </w:pPr>
    </w:p>
    <w:p w:rsidR="005C212D" w:rsidRDefault="005C212D" w:rsidP="005C212D">
      <w:pPr>
        <w:jc w:val="left"/>
      </w:pPr>
    </w:p>
    <w:p w:rsidR="005C212D" w:rsidRDefault="005C212D" w:rsidP="005C212D">
      <w:pPr>
        <w:jc w:val="left"/>
      </w:pPr>
    </w:p>
    <w:p w:rsidR="005C212D" w:rsidRDefault="005C212D" w:rsidP="005C212D">
      <w:pPr>
        <w:jc w:val="left"/>
      </w:pPr>
    </w:p>
    <w:p w:rsidR="005C212D" w:rsidRDefault="005C212D" w:rsidP="005C212D"/>
    <w:p w:rsidR="005C212D" w:rsidRDefault="005C212D" w:rsidP="005C212D">
      <w:pPr>
        <w:rPr>
          <w:rFonts w:ascii="Adobe 黑体 Std R" w:eastAsia="Adobe 黑体 Std R" w:hAnsi="Adobe 黑体 Std R"/>
          <w:b/>
        </w:rPr>
      </w:pPr>
    </w:p>
    <w:p w:rsidR="005C212D" w:rsidRDefault="00F67ECA" w:rsidP="005C212D">
      <w:pPr>
        <w:rPr>
          <w:rFonts w:ascii="Adobe 黑体 Std R" w:eastAsia="Adobe 黑体 Std R" w:hAnsi="Adobe 黑体 Std R"/>
          <w:b/>
        </w:rPr>
      </w:pPr>
      <w:r w:rsidRPr="00F67ECA">
        <w:rPr>
          <w:noProof/>
        </w:rPr>
        <w:pict>
          <v:shape id="_x0000_s1026" type="#_x0000_t75" style="position:absolute;left:0;text-align:left;margin-left:-16.7pt;margin-top:35.95pt;width:455.75pt;height:301.7pt;z-index:251660288">
            <v:imagedata r:id="rId8" o:title=""/>
          </v:shape>
          <o:OLEObject Type="Embed" ProgID="ChemDraw.Document.6.0" ShapeID="_x0000_s1026" DrawAspect="Content" ObjectID="_1554101435" r:id="rId9"/>
        </w:pict>
      </w:r>
      <w:r w:rsidR="005C212D" w:rsidRPr="00345E9A">
        <w:rPr>
          <w:rFonts w:ascii="Adobe 黑体 Std R" w:eastAsia="Adobe 黑体 Std R" w:hAnsi="Adobe 黑体 Std R"/>
          <w:b/>
        </w:rPr>
        <w:t>Answer</w:t>
      </w:r>
      <w:r w:rsidR="005C212D" w:rsidRPr="00345E9A">
        <w:rPr>
          <w:rFonts w:ascii="Adobe 黑体 Std R" w:eastAsia="Adobe 黑体 Std R" w:hAnsi="Adobe 黑体 Std R" w:hint="eastAsia"/>
          <w:b/>
        </w:rPr>
        <w:t xml:space="preserve"> -00</w:t>
      </w:r>
      <w:r w:rsidR="005C212D" w:rsidRPr="00345E9A">
        <w:rPr>
          <w:rFonts w:ascii="Adobe 黑体 Std R" w:eastAsia="Adobe 黑体 Std R" w:hAnsi="Adobe 黑体 Std R"/>
          <w:b/>
        </w:rPr>
        <w:t>2</w:t>
      </w:r>
    </w:p>
    <w:p w:rsidR="005C212D" w:rsidRDefault="005C212D" w:rsidP="005C212D"/>
    <w:p w:rsidR="005C212D" w:rsidRDefault="005C212D" w:rsidP="005C212D"/>
    <w:p w:rsidR="005C212D" w:rsidRDefault="005C212D" w:rsidP="005C212D"/>
    <w:p w:rsidR="005C212D" w:rsidRDefault="005C212D" w:rsidP="005C212D"/>
    <w:p w:rsidR="005C212D" w:rsidRDefault="005C212D" w:rsidP="005C212D"/>
    <w:p w:rsidR="005C212D" w:rsidRDefault="005C212D" w:rsidP="005C212D"/>
    <w:p w:rsidR="005C212D" w:rsidRPr="00345E9A" w:rsidRDefault="005C212D" w:rsidP="005C212D">
      <w:pPr>
        <w:rPr>
          <w:b/>
        </w:rPr>
      </w:pPr>
    </w:p>
    <w:p w:rsidR="005C212D" w:rsidRDefault="005C212D" w:rsidP="005C212D">
      <w:pPr>
        <w:jc w:val="center"/>
      </w:pPr>
    </w:p>
    <w:p w:rsidR="005C212D" w:rsidRDefault="005C212D" w:rsidP="005C212D">
      <w:pPr>
        <w:jc w:val="center"/>
      </w:pPr>
    </w:p>
    <w:p w:rsidR="005C212D" w:rsidRDefault="005C212D" w:rsidP="005C212D">
      <w:pPr>
        <w:jc w:val="center"/>
      </w:pPr>
    </w:p>
    <w:p w:rsidR="005C212D" w:rsidRDefault="005C212D" w:rsidP="005C212D">
      <w:pPr>
        <w:jc w:val="center"/>
      </w:pPr>
    </w:p>
    <w:p w:rsidR="005C212D" w:rsidRDefault="005C212D" w:rsidP="005C212D">
      <w:pPr>
        <w:jc w:val="center"/>
      </w:pPr>
    </w:p>
    <w:p w:rsidR="005C212D" w:rsidRDefault="005C212D" w:rsidP="005C212D">
      <w:pPr>
        <w:jc w:val="center"/>
      </w:pPr>
    </w:p>
    <w:p w:rsidR="005C212D" w:rsidRDefault="005C212D" w:rsidP="005C212D">
      <w:pPr>
        <w:jc w:val="center"/>
      </w:pPr>
    </w:p>
    <w:p w:rsidR="005C212D" w:rsidRDefault="005C212D" w:rsidP="005C212D">
      <w:pPr>
        <w:jc w:val="center"/>
      </w:pPr>
    </w:p>
    <w:p w:rsidR="005C212D" w:rsidRDefault="005C212D" w:rsidP="005C212D">
      <w:pPr>
        <w:jc w:val="center"/>
      </w:pPr>
    </w:p>
    <w:p w:rsidR="005C212D" w:rsidRDefault="005C212D" w:rsidP="005C212D">
      <w:pPr>
        <w:jc w:val="center"/>
      </w:pPr>
    </w:p>
    <w:p w:rsidR="005C212D" w:rsidRDefault="005C212D" w:rsidP="005C212D">
      <w:pPr>
        <w:jc w:val="center"/>
      </w:pPr>
    </w:p>
    <w:p w:rsidR="005C212D" w:rsidRDefault="005C212D" w:rsidP="005C212D">
      <w:pPr>
        <w:jc w:val="center"/>
      </w:pPr>
    </w:p>
    <w:p w:rsidR="005C212D" w:rsidRDefault="005C212D" w:rsidP="005C212D">
      <w:pPr>
        <w:jc w:val="center"/>
      </w:pPr>
    </w:p>
    <w:p w:rsidR="005C212D" w:rsidRDefault="005C212D" w:rsidP="005C212D">
      <w:pPr>
        <w:jc w:val="left"/>
      </w:pPr>
    </w:p>
    <w:p w:rsidR="005C212D" w:rsidRDefault="005C212D" w:rsidP="005C212D">
      <w:pPr>
        <w:jc w:val="left"/>
      </w:pPr>
      <w:r w:rsidRPr="00345E9A">
        <w:rPr>
          <w:rFonts w:ascii="Adobe 黑体 Std R" w:eastAsia="Adobe 黑体 Std R" w:hAnsi="Adobe 黑体 Std R"/>
          <w:b/>
        </w:rPr>
        <w:t>Answer</w:t>
      </w:r>
      <w:r w:rsidRPr="00345E9A">
        <w:rPr>
          <w:rFonts w:ascii="Adobe 黑体 Std R" w:eastAsia="Adobe 黑体 Std R" w:hAnsi="Adobe 黑体 Std R" w:hint="eastAsia"/>
          <w:b/>
        </w:rPr>
        <w:t xml:space="preserve"> -00</w:t>
      </w:r>
      <w:r>
        <w:rPr>
          <w:rFonts w:ascii="Adobe 黑体 Std R" w:eastAsia="Adobe 黑体 Std R" w:hAnsi="Adobe 黑体 Std R"/>
          <w:b/>
        </w:rPr>
        <w:t>3</w:t>
      </w:r>
    </w:p>
    <w:p w:rsidR="005C212D" w:rsidRDefault="00F67ECA" w:rsidP="005C212D">
      <w:pPr>
        <w:jc w:val="left"/>
      </w:pPr>
      <w:r>
        <w:rPr>
          <w:noProof/>
        </w:rPr>
        <w:pict>
          <v:shape id="_x0000_s1028" type="#_x0000_t75" style="position:absolute;margin-left:-12.6pt;margin-top:7.6pt;width:440.45pt;height:124.9pt;z-index:251662336">
            <v:imagedata r:id="rId10" o:title=""/>
          </v:shape>
          <o:OLEObject Type="Embed" ProgID="ChemDraw.Document.6.0" ShapeID="_x0000_s1028" DrawAspect="Content" ObjectID="_1554101436" r:id="rId11"/>
        </w:pict>
      </w:r>
    </w:p>
    <w:p w:rsidR="005C212D" w:rsidRDefault="005C212D" w:rsidP="005C212D">
      <w:pPr>
        <w:jc w:val="left"/>
      </w:pPr>
    </w:p>
    <w:p w:rsidR="005C212D" w:rsidRDefault="005C212D" w:rsidP="005C212D">
      <w:pPr>
        <w:jc w:val="left"/>
      </w:pPr>
    </w:p>
    <w:p w:rsidR="005C212D" w:rsidRDefault="005C212D" w:rsidP="005C212D">
      <w:pPr>
        <w:jc w:val="left"/>
      </w:pPr>
    </w:p>
    <w:p w:rsidR="005C212D" w:rsidRDefault="005C212D" w:rsidP="005C212D">
      <w:pPr>
        <w:jc w:val="left"/>
      </w:pPr>
    </w:p>
    <w:p w:rsidR="005C212D" w:rsidRDefault="005C212D" w:rsidP="005C212D">
      <w:pPr>
        <w:jc w:val="left"/>
      </w:pPr>
    </w:p>
    <w:p w:rsidR="00875F63" w:rsidRDefault="00875F63">
      <w:pPr>
        <w:rPr>
          <w:rFonts w:hint="eastAsia"/>
        </w:rPr>
      </w:pPr>
    </w:p>
    <w:p w:rsidR="00D215EA" w:rsidRDefault="00D215EA">
      <w:pPr>
        <w:rPr>
          <w:rFonts w:hint="eastAsia"/>
        </w:rPr>
      </w:pPr>
    </w:p>
    <w:p w:rsidR="00D215EA" w:rsidRDefault="00D215EA" w:rsidP="00D215EA">
      <w:pPr>
        <w:jc w:val="left"/>
        <w:rPr>
          <w:rFonts w:hint="eastAsia"/>
        </w:rPr>
      </w:pPr>
    </w:p>
    <w:p w:rsidR="00D215EA" w:rsidRDefault="00D215EA" w:rsidP="00D215EA">
      <w:pPr>
        <w:jc w:val="left"/>
      </w:pPr>
      <w:r>
        <w:lastRenderedPageBreak/>
        <w:t>M</w:t>
      </w:r>
      <w:r>
        <w:rPr>
          <w:rFonts w:hint="eastAsia"/>
        </w:rPr>
        <w:t xml:space="preserve">ore </w:t>
      </w:r>
      <w:r>
        <w:t>about problem 3</w:t>
      </w:r>
    </w:p>
    <w:p w:rsidR="00D215EA" w:rsidRDefault="00D215EA" w:rsidP="00D215EA">
      <w:pPr>
        <w:jc w:val="left"/>
      </w:pPr>
      <w:r w:rsidRPr="00C553B0">
        <w:rPr>
          <w:lang/>
        </w:rPr>
        <w:t>Alpha-ketol rearrangement</w:t>
      </w:r>
      <w:r>
        <w:rPr>
          <w:lang/>
        </w:rPr>
        <w:t>involves the transformation of an alkoxide into a carbonyl group with concomitant movement of the bonding electrons of the migrating group towards an adjacent trigonal center. A distinctive feature of this particular rearrangement, however, is its reversibility—as a result, the more stable α-hydroxy carbonyl compound is favored. A general scheme for the rearrangement is shown below.</w:t>
      </w:r>
    </w:p>
    <w:p w:rsidR="00D215EA" w:rsidRDefault="00D215EA" w:rsidP="00D215EA">
      <w:pPr>
        <w:jc w:val="lef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009900" cy="740477"/>
            <wp:effectExtent l="0" t="0" r="0" b="2540"/>
            <wp:wrapNone/>
            <wp:docPr id="2" name="图片 1" descr="Ketol gene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Ketol genera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4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5EA" w:rsidRDefault="00D215EA" w:rsidP="00D215EA">
      <w:pPr>
        <w:jc w:val="left"/>
      </w:pPr>
    </w:p>
    <w:p w:rsidR="00D215EA" w:rsidRDefault="00D215EA" w:rsidP="00D215EA">
      <w:pPr>
        <w:jc w:val="left"/>
      </w:pPr>
    </w:p>
    <w:p w:rsidR="00D215EA" w:rsidRDefault="00D215EA" w:rsidP="00D215EA">
      <w:pPr>
        <w:jc w:val="left"/>
      </w:pPr>
    </w:p>
    <w:p w:rsidR="00D215EA" w:rsidRDefault="00D215EA" w:rsidP="00D215EA">
      <w:pPr>
        <w:jc w:val="left"/>
      </w:pPr>
      <w:r>
        <w:rPr>
          <w:rFonts w:hint="eastAsia"/>
        </w:rPr>
        <w:t>For more information, see:</w:t>
      </w:r>
    </w:p>
    <w:p w:rsidR="00D215EA" w:rsidRDefault="00D215EA" w:rsidP="00D215EA">
      <w:pPr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3457575" cy="695325"/>
            <wp:effectExtent l="0" t="0" r="9525" b="9525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15EA" w:rsidRDefault="00D215EA" w:rsidP="00D215EA">
      <w:pPr>
        <w:jc w:val="left"/>
      </w:pPr>
    </w:p>
    <w:p w:rsidR="00D215EA" w:rsidRDefault="00D215EA" w:rsidP="00D215EA">
      <w:pPr>
        <w:jc w:val="left"/>
      </w:pPr>
    </w:p>
    <w:p w:rsidR="00D215EA" w:rsidRDefault="00D215EA" w:rsidP="00D215EA">
      <w:pPr>
        <w:jc w:val="left"/>
      </w:pPr>
    </w:p>
    <w:p w:rsidR="00D215EA" w:rsidRDefault="00D215EA" w:rsidP="00D215EA">
      <w:pPr>
        <w:jc w:val="left"/>
      </w:pPr>
      <w:bookmarkStart w:id="0" w:name="_GoBack"/>
      <w:bookmarkEnd w:id="0"/>
    </w:p>
    <w:p w:rsidR="00D215EA" w:rsidRPr="00D215EA" w:rsidRDefault="00D215EA"/>
    <w:sectPr w:rsidR="00D215EA" w:rsidRPr="00D215EA" w:rsidSect="0087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E6" w:rsidRDefault="00B231E6" w:rsidP="00D215EA">
      <w:r>
        <w:separator/>
      </w:r>
    </w:p>
  </w:endnote>
  <w:endnote w:type="continuationSeparator" w:id="1">
    <w:p w:rsidR="00B231E6" w:rsidRDefault="00B231E6" w:rsidP="00D2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E6" w:rsidRDefault="00B231E6" w:rsidP="00D215EA">
      <w:r>
        <w:separator/>
      </w:r>
    </w:p>
  </w:footnote>
  <w:footnote w:type="continuationSeparator" w:id="1">
    <w:p w:rsidR="00B231E6" w:rsidRDefault="00B231E6" w:rsidP="00D215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12D"/>
    <w:rsid w:val="005C212D"/>
    <w:rsid w:val="00875F63"/>
    <w:rsid w:val="00B231E6"/>
    <w:rsid w:val="00D215EA"/>
    <w:rsid w:val="00F67ECA"/>
    <w:rsid w:val="00F7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5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5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5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>微软中国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2017-04-19T02:02:00Z</dcterms:created>
  <dcterms:modified xsi:type="dcterms:W3CDTF">2017-04-19T02:03:00Z</dcterms:modified>
</cp:coreProperties>
</file>